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United Arts Council of Catawba County</w:t>
      </w:r>
      <w:r w:rsidDel="00000000" w:rsidR="00000000" w:rsidRPr="00000000">
        <w:rPr>
          <w:rtl w:val="0"/>
        </w:rPr>
      </w:r>
    </w:p>
    <w:p w:rsidR="00000000" w:rsidDel="00000000" w:rsidP="00000000" w:rsidRDefault="00000000" w:rsidRPr="00000000" w14:paraId="00000002">
      <w:pPr>
        <w:pStyle w:val="Heading1"/>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PROJECTS POOL ROUND 2 GRANTS</w:t>
      </w:r>
      <w:r w:rsidDel="00000000" w:rsidR="00000000" w:rsidRPr="00000000">
        <w:rPr>
          <w:rtl w:val="0"/>
        </w:rPr>
      </w:r>
    </w:p>
    <w:p w:rsidR="00000000" w:rsidDel="00000000" w:rsidP="00000000" w:rsidRDefault="00000000" w:rsidRPr="00000000" w14:paraId="00000003">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The United Arts Council of Catawba County awards Projects Pool grants to nonprofit organizations.</w:t>
      </w:r>
      <w:r w:rsidDel="00000000" w:rsidR="00000000" w:rsidRPr="00000000">
        <w:rPr>
          <w:rtl w:val="0"/>
        </w:rPr>
      </w:r>
    </w:p>
    <w:p w:rsidR="00000000" w:rsidDel="00000000" w:rsidP="00000000" w:rsidRDefault="00000000" w:rsidRPr="00000000" w14:paraId="00000005">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These grants are made available by the North Carolina General Assembly through the North Carolina Arts Council’s Grassroots Arts Program.  Allocations are based on population figures.  In Catawba County, the United Arts Council is the Designated County Partner, as nominated by the Catawba County Commissioners and approved by the North Carolina Arts Council.  Additional dollars from local government are budgeted to the United Arts Council from the County and the county’s municipalities.  The goals of the program are to enhance and strengthen the cultural community and broaden the services offered to Catawba County citizens.</w:t>
      </w:r>
      <w:r w:rsidDel="00000000" w:rsidR="00000000" w:rsidRPr="00000000">
        <w:rPr>
          <w:rtl w:val="0"/>
        </w:rPr>
      </w:r>
    </w:p>
    <w:p w:rsidR="00000000" w:rsidDel="00000000" w:rsidP="00000000" w:rsidRDefault="00000000" w:rsidRPr="00000000" w14:paraId="00000006">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Applications must be received ELECTRONICALLY in the United Arts Council office by </w:t>
      </w:r>
      <w:r w:rsidDel="00000000" w:rsidR="00000000" w:rsidRPr="00000000">
        <w:rPr>
          <w:rFonts w:ascii="Calibri" w:cs="Calibri" w:eastAsia="Calibri" w:hAnsi="Calibri"/>
          <w:b w:val="1"/>
          <w:u w:val="single"/>
          <w:vertAlign w:val="baseline"/>
          <w:rtl w:val="0"/>
        </w:rPr>
        <w:t xml:space="preserve">5pm on Thursday, October 13, 2022.</w:t>
      </w:r>
      <w:r w:rsidDel="00000000" w:rsidR="00000000" w:rsidRPr="00000000">
        <w:rPr>
          <w:rtl w:val="0"/>
        </w:rPr>
      </w:r>
    </w:p>
    <w:p w:rsidR="00000000" w:rsidDel="00000000" w:rsidP="00000000" w:rsidRDefault="00000000" w:rsidRPr="00000000" w14:paraId="00000008">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b w:val="0"/>
          <w:u w:val="single"/>
          <w:vertAlign w:val="baseline"/>
        </w:rPr>
      </w:pPr>
      <w:r w:rsidDel="00000000" w:rsidR="00000000" w:rsidRPr="00000000">
        <w:rPr>
          <w:rFonts w:ascii="Calibri" w:cs="Calibri" w:eastAsia="Calibri" w:hAnsi="Calibri"/>
          <w:b w:val="1"/>
          <w:vertAlign w:val="baseline"/>
          <w:rtl w:val="0"/>
        </w:rPr>
        <w:t xml:space="preserve">Applicants should be prepared to appear before the </w:t>
      </w:r>
      <w:r w:rsidDel="00000000" w:rsidR="00000000" w:rsidRPr="00000000">
        <w:rPr>
          <w:rFonts w:ascii="Calibri" w:cs="Calibri" w:eastAsia="Calibri" w:hAnsi="Calibri"/>
          <w:b w:val="1"/>
          <w:u w:val="single"/>
          <w:vertAlign w:val="baseline"/>
          <w:rtl w:val="0"/>
        </w:rPr>
        <w:t xml:space="preserve">Projects Pool Grant Panel on </w:t>
      </w:r>
      <w:r w:rsidDel="00000000" w:rsidR="00000000" w:rsidRPr="00000000">
        <w:rPr>
          <w:rFonts w:ascii="Calibri" w:cs="Calibri" w:eastAsia="Calibri" w:hAnsi="Calibri"/>
          <w:b w:val="1"/>
          <w:u w:val="single"/>
          <w:rtl w:val="0"/>
        </w:rPr>
        <w:t xml:space="preserve">Monday,</w:t>
      </w:r>
      <w:r w:rsidDel="00000000" w:rsidR="00000000" w:rsidRPr="00000000">
        <w:rPr>
          <w:rFonts w:ascii="Calibri" w:cs="Calibri" w:eastAsia="Calibri" w:hAnsi="Calibri"/>
          <w:b w:val="1"/>
          <w:u w:val="single"/>
          <w:vertAlign w:val="baseline"/>
          <w:rtl w:val="0"/>
        </w:rPr>
        <w:t xml:space="preserve"> October 2</w:t>
      </w:r>
      <w:r w:rsidDel="00000000" w:rsidR="00000000" w:rsidRPr="00000000">
        <w:rPr>
          <w:rFonts w:ascii="Calibri" w:cs="Calibri" w:eastAsia="Calibri" w:hAnsi="Calibri"/>
          <w:b w:val="1"/>
          <w:u w:val="single"/>
          <w:rtl w:val="0"/>
        </w:rPr>
        <w:t xml:space="preserve">4</w:t>
      </w:r>
      <w:r w:rsidDel="00000000" w:rsidR="00000000" w:rsidRPr="00000000">
        <w:rPr>
          <w:rFonts w:ascii="Calibri" w:cs="Calibri" w:eastAsia="Calibri" w:hAnsi="Calibri"/>
          <w:b w:val="1"/>
          <w:u w:val="single"/>
          <w:vertAlign w:val="baseline"/>
          <w:rtl w:val="0"/>
        </w:rPr>
        <w:t xml:space="preserve">, 2022.</w:t>
      </w:r>
      <w:r w:rsidDel="00000000" w:rsidR="00000000" w:rsidRPr="00000000">
        <w:rPr>
          <w:rtl w:val="0"/>
        </w:rPr>
      </w:r>
    </w:p>
    <w:p w:rsidR="00000000" w:rsidDel="00000000" w:rsidP="00000000" w:rsidRDefault="00000000" w:rsidRPr="00000000" w14:paraId="0000000A">
      <w:pPr>
        <w:rPr>
          <w:rFonts w:ascii="Calibri" w:cs="Calibri" w:eastAsia="Calibri" w:hAnsi="Calibri"/>
          <w:i w:val="0"/>
          <w:sz w:val="23"/>
          <w:szCs w:val="23"/>
          <w:u w:val="single"/>
          <w:vertAlign w:val="baseline"/>
        </w:rPr>
      </w:pPr>
      <w:r w:rsidDel="00000000" w:rsidR="00000000" w:rsidRPr="00000000">
        <w:rPr>
          <w:rtl w:val="0"/>
        </w:rPr>
      </w:r>
    </w:p>
    <w:p w:rsidR="00000000" w:rsidDel="00000000" w:rsidP="00000000" w:rsidRDefault="00000000" w:rsidRPr="00000000" w14:paraId="0000000B">
      <w:pPr>
        <w:numPr>
          <w:ilvl w:val="0"/>
          <w:numId w:val="14"/>
        </w:numPr>
        <w:ind w:left="360" w:hanging="360"/>
        <w:rPr>
          <w:rFonts w:ascii="Calibri" w:cs="Calibri" w:eastAsia="Calibri" w:hAnsi="Calibri"/>
          <w:sz w:val="23"/>
          <w:szCs w:val="23"/>
          <w:u w:val="single"/>
          <w:vertAlign w:val="baseline"/>
        </w:rPr>
      </w:pPr>
      <w:r w:rsidDel="00000000" w:rsidR="00000000" w:rsidRPr="00000000">
        <w:rPr>
          <w:rFonts w:ascii="Calibri" w:cs="Calibri" w:eastAsia="Calibri" w:hAnsi="Calibri"/>
          <w:sz w:val="23"/>
          <w:szCs w:val="23"/>
          <w:u w:val="single"/>
          <w:vertAlign w:val="baseline"/>
          <w:rtl w:val="0"/>
        </w:rPr>
        <w:t xml:space="preserve">Guidelines:</w:t>
      </w:r>
    </w:p>
    <w:p w:rsidR="00000000" w:rsidDel="00000000" w:rsidP="00000000" w:rsidRDefault="00000000" w:rsidRPr="00000000" w14:paraId="0000000C">
      <w:pPr>
        <w:rPr>
          <w:rFonts w:ascii="Calibri" w:cs="Calibri" w:eastAsia="Calibri" w:hAnsi="Calibri"/>
          <w:sz w:val="23"/>
          <w:szCs w:val="23"/>
          <w:u w:val="single"/>
          <w:vertAlign w:val="baseline"/>
        </w:rPr>
      </w:pPr>
      <w:r w:rsidDel="00000000" w:rsidR="00000000" w:rsidRPr="00000000">
        <w:rPr>
          <w:rtl w:val="0"/>
        </w:rPr>
      </w:r>
    </w:p>
    <w:p w:rsidR="00000000" w:rsidDel="00000000" w:rsidP="00000000" w:rsidRDefault="00000000" w:rsidRPr="00000000" w14:paraId="0000000D">
      <w:pPr>
        <w:numPr>
          <w:ilvl w:val="0"/>
          <w:numId w:val="15"/>
        </w:numPr>
        <w:ind w:left="360" w:hanging="360"/>
        <w:rPr>
          <w:rFonts w:ascii="Calibri" w:cs="Calibri" w:eastAsia="Calibri" w:hAnsi="Calibri"/>
          <w:i w:val="0"/>
          <w:sz w:val="23"/>
          <w:szCs w:val="23"/>
          <w:vertAlign w:val="baseline"/>
        </w:rPr>
      </w:pPr>
      <w:r w:rsidDel="00000000" w:rsidR="00000000" w:rsidRPr="00000000">
        <w:rPr>
          <w:rFonts w:ascii="Calibri" w:cs="Calibri" w:eastAsia="Calibri" w:hAnsi="Calibri"/>
          <w:sz w:val="23"/>
          <w:szCs w:val="23"/>
          <w:vertAlign w:val="baseline"/>
          <w:rtl w:val="0"/>
        </w:rPr>
        <w:t xml:space="preserve">Organizations must have a 501 (c) 3 Federal tax exempt status.  The applicant need not have a mission that is primarily cultural or artistic. If a not for profit organization does not yet have a 501 (c) 3 status, and wishes to apply to Projects Pool, it must secure as fiscal agent another organization with this status.</w:t>
      </w:r>
      <w:r w:rsidDel="00000000" w:rsidR="00000000" w:rsidRPr="00000000">
        <w:rPr>
          <w:rtl w:val="0"/>
        </w:rPr>
      </w:r>
    </w:p>
    <w:p w:rsidR="00000000" w:rsidDel="00000000" w:rsidP="00000000" w:rsidRDefault="00000000" w:rsidRPr="00000000" w14:paraId="0000000E">
      <w:pPr>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0F">
      <w:pPr>
        <w:numPr>
          <w:ilvl w:val="0"/>
          <w:numId w:val="16"/>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Projects must take place between, July 1 and June 15 of the granting year.</w:t>
      </w:r>
    </w:p>
    <w:p w:rsidR="00000000" w:rsidDel="00000000" w:rsidP="00000000" w:rsidRDefault="00000000" w:rsidRPr="00000000" w14:paraId="00000010">
      <w:pPr>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11">
      <w:pPr>
        <w:numPr>
          <w:ilvl w:val="0"/>
          <w:numId w:val="1"/>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Organizations outside of Catawba County may apply if the proposed project takes place in Catawba County.</w:t>
      </w:r>
    </w:p>
    <w:p w:rsidR="00000000" w:rsidDel="00000000" w:rsidP="00000000" w:rsidRDefault="00000000" w:rsidRPr="00000000" w14:paraId="00000012">
      <w:pPr>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13">
      <w:pPr>
        <w:numPr>
          <w:ilvl w:val="0"/>
          <w:numId w:val="2"/>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Organizations must have been active one year prior to making an application and be governed by a representative board which is not self-perpetuating.</w:t>
      </w:r>
    </w:p>
    <w:p w:rsidR="00000000" w:rsidDel="00000000" w:rsidP="00000000" w:rsidRDefault="00000000" w:rsidRPr="00000000" w14:paraId="00000014">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15">
      <w:pPr>
        <w:numPr>
          <w:ilvl w:val="0"/>
          <w:numId w:val="4"/>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Colleges, universities, community colleges and technical institutes may apply if the project will be community based, will generate area-wide cultural involvement, and will not be an internal program.</w:t>
      </w:r>
    </w:p>
    <w:p w:rsidR="00000000" w:rsidDel="00000000" w:rsidP="00000000" w:rsidRDefault="00000000" w:rsidRPr="00000000" w14:paraId="00000016">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17">
      <w:pPr>
        <w:numPr>
          <w:ilvl w:val="0"/>
          <w:numId w:val="6"/>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Schools may apply for funds for innovative arts education projects.</w:t>
      </w:r>
    </w:p>
    <w:p w:rsidR="00000000" w:rsidDel="00000000" w:rsidP="00000000" w:rsidRDefault="00000000" w:rsidRPr="00000000" w14:paraId="00000018">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19">
      <w:pPr>
        <w:numPr>
          <w:ilvl w:val="0"/>
          <w:numId w:val="8"/>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Individual artists are not eligible to apply to Projects Pool.  Grantees may contract with individual artists whose services fall within the scope of the project.</w:t>
      </w:r>
    </w:p>
    <w:p w:rsidR="00000000" w:rsidDel="00000000" w:rsidP="00000000" w:rsidRDefault="00000000" w:rsidRPr="00000000" w14:paraId="0000001A">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1B">
      <w:pPr>
        <w:numPr>
          <w:ilvl w:val="0"/>
          <w:numId w:val="10"/>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Grassroots funds must be matched dollar for dollar with cash raised locally and spent on the same project during the same fiscal year for which funding is requested.</w:t>
      </w:r>
    </w:p>
    <w:p w:rsidR="00000000" w:rsidDel="00000000" w:rsidP="00000000" w:rsidRDefault="00000000" w:rsidRPr="00000000" w14:paraId="0000001C">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1D">
      <w:pPr>
        <w:numPr>
          <w:ilvl w:val="0"/>
          <w:numId w:val="9"/>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Matching funds need not be in hand at the time of application, but can be anticipated.</w:t>
      </w:r>
    </w:p>
    <w:p w:rsidR="00000000" w:rsidDel="00000000" w:rsidP="00000000" w:rsidRDefault="00000000" w:rsidRPr="00000000" w14:paraId="0000001E">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1F">
      <w:pPr>
        <w:numPr>
          <w:ilvl w:val="0"/>
          <w:numId w:val="11"/>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In-kind contributions cannot replace cash for matching purposes, but can be documented as supplemental evidence of support.</w:t>
      </w:r>
    </w:p>
    <w:p w:rsidR="00000000" w:rsidDel="00000000" w:rsidP="00000000" w:rsidRDefault="00000000" w:rsidRPr="00000000" w14:paraId="00000020">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21">
      <w:pPr>
        <w:numPr>
          <w:ilvl w:val="0"/>
          <w:numId w:val="12"/>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An organization may submit only two applications per granting period.</w:t>
      </w:r>
    </w:p>
    <w:p w:rsidR="00000000" w:rsidDel="00000000" w:rsidP="00000000" w:rsidRDefault="00000000" w:rsidRPr="00000000" w14:paraId="00000022">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23">
      <w:pPr>
        <w:numPr>
          <w:ilvl w:val="0"/>
          <w:numId w:val="13"/>
        </w:numPr>
        <w:ind w:left="360" w:hanging="360"/>
        <w:jc w:val="both"/>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No Projects Pool funds may be used to match another grant from the North Carolina Arts Council.  In addition, the same matching funds may not be used for more than one Projects Pool or UAC grant.</w:t>
      </w:r>
    </w:p>
    <w:p w:rsidR="00000000" w:rsidDel="00000000" w:rsidP="00000000" w:rsidRDefault="00000000" w:rsidRPr="00000000" w14:paraId="00000024">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25">
      <w:pPr>
        <w:numPr>
          <w:ilvl w:val="0"/>
          <w:numId w:val="7"/>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Funds may not be used for deficit funding.</w:t>
      </w:r>
    </w:p>
    <w:p w:rsidR="00000000" w:rsidDel="00000000" w:rsidP="00000000" w:rsidRDefault="00000000" w:rsidRPr="00000000" w14:paraId="00000026">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27">
      <w:pPr>
        <w:numPr>
          <w:ilvl w:val="0"/>
          <w:numId w:val="27"/>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Funds may not be used for permanent personnel, capital expenditures such as permanent equipment and construction or the renovation of facilities, logo development and design, cash awards, food and beverages for entertaining, tuition for academic studies, or fund raising events.</w:t>
      </w:r>
    </w:p>
    <w:p w:rsidR="00000000" w:rsidDel="00000000" w:rsidP="00000000" w:rsidRDefault="00000000" w:rsidRPr="00000000" w14:paraId="00000028">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29">
      <w:pPr>
        <w:numPr>
          <w:ilvl w:val="0"/>
          <w:numId w:val="28"/>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All funds must be administered in compliance with the Fair Labor Act and Title 6 of the Civil Rights Act; Section 504 Rehabilitation Act; and Title 9 of the Education Amendment, if applicable.</w:t>
      </w:r>
    </w:p>
    <w:p w:rsidR="00000000" w:rsidDel="00000000" w:rsidP="00000000" w:rsidRDefault="00000000" w:rsidRPr="00000000" w14:paraId="0000002A">
      <w:pPr>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2B">
      <w:pPr>
        <w:numPr>
          <w:ilvl w:val="0"/>
          <w:numId w:val="21"/>
        </w:numPr>
        <w:ind w:left="360" w:hanging="360"/>
        <w:jc w:val="both"/>
        <w:rPr>
          <w:rFonts w:ascii="Calibri" w:cs="Calibri" w:eastAsia="Calibri" w:hAnsi="Calibri"/>
          <w:sz w:val="23"/>
          <w:szCs w:val="23"/>
          <w:u w:val="single"/>
          <w:vertAlign w:val="baseline"/>
        </w:rPr>
      </w:pPr>
      <w:r w:rsidDel="00000000" w:rsidR="00000000" w:rsidRPr="00000000">
        <w:rPr>
          <w:rFonts w:ascii="Calibri" w:cs="Calibri" w:eastAsia="Calibri" w:hAnsi="Calibri"/>
          <w:sz w:val="23"/>
          <w:szCs w:val="23"/>
          <w:u w:val="single"/>
          <w:vertAlign w:val="baseline"/>
          <w:rtl w:val="0"/>
        </w:rPr>
        <w:t xml:space="preserve">Criteria:</w:t>
      </w:r>
    </w:p>
    <w:p w:rsidR="00000000" w:rsidDel="00000000" w:rsidP="00000000" w:rsidRDefault="00000000" w:rsidRPr="00000000" w14:paraId="0000002C">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The Project:</w:t>
      </w:r>
    </w:p>
    <w:p w:rsidR="00000000" w:rsidDel="00000000" w:rsidP="00000000" w:rsidRDefault="00000000" w:rsidRPr="00000000" w14:paraId="0000002E">
      <w:pPr>
        <w:numPr>
          <w:ilvl w:val="0"/>
          <w:numId w:val="29"/>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must be open to a broad segment of the community and directly benefit Catawba County.</w:t>
      </w:r>
    </w:p>
    <w:p w:rsidR="00000000" w:rsidDel="00000000" w:rsidP="00000000" w:rsidRDefault="00000000" w:rsidRPr="00000000" w14:paraId="0000002F">
      <w:pPr>
        <w:numPr>
          <w:ilvl w:val="0"/>
          <w:numId w:val="29"/>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must not be duplicated through other agencies.</w:t>
      </w:r>
    </w:p>
    <w:p w:rsidR="00000000" w:rsidDel="00000000" w:rsidP="00000000" w:rsidRDefault="00000000" w:rsidRPr="00000000" w14:paraId="00000030">
      <w:pPr>
        <w:numPr>
          <w:ilvl w:val="0"/>
          <w:numId w:val="30"/>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should invite participation from the general public in addition to the organization’s own membership.</w:t>
      </w:r>
    </w:p>
    <w:p w:rsidR="00000000" w:rsidDel="00000000" w:rsidP="00000000" w:rsidRDefault="00000000" w:rsidRPr="00000000" w14:paraId="00000031">
      <w:pPr>
        <w:numPr>
          <w:ilvl w:val="0"/>
          <w:numId w:val="31"/>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must be new and innovative although existing projects or season/subscription regular offerings in need of assistance and meeting the guidelines are eligible. Grants are intended primarily as seed money for new programs and awards made for ongoing projects are likely to decline over a period of years.</w:t>
      </w:r>
    </w:p>
    <w:p w:rsidR="00000000" w:rsidDel="00000000" w:rsidP="00000000" w:rsidRDefault="00000000" w:rsidRPr="00000000" w14:paraId="00000032">
      <w:pPr>
        <w:numPr>
          <w:ilvl w:val="0"/>
          <w:numId w:val="22"/>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must be clearly an expansion or innovation if funding is sought for an existing program.</w:t>
      </w:r>
    </w:p>
    <w:p w:rsidR="00000000" w:rsidDel="00000000" w:rsidP="00000000" w:rsidRDefault="00000000" w:rsidRPr="00000000" w14:paraId="00000033">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34">
      <w:pPr>
        <w:numPr>
          <w:ilvl w:val="0"/>
          <w:numId w:val="21"/>
        </w:numPr>
        <w:ind w:left="360" w:hanging="360"/>
        <w:jc w:val="both"/>
        <w:rPr>
          <w:rFonts w:ascii="Calibri" w:cs="Calibri" w:eastAsia="Calibri" w:hAnsi="Calibri"/>
          <w:sz w:val="23"/>
          <w:szCs w:val="23"/>
          <w:u w:val="single"/>
          <w:vertAlign w:val="baseline"/>
        </w:rPr>
      </w:pPr>
      <w:r w:rsidDel="00000000" w:rsidR="00000000" w:rsidRPr="00000000">
        <w:rPr>
          <w:rFonts w:ascii="Calibri" w:cs="Calibri" w:eastAsia="Calibri" w:hAnsi="Calibri"/>
          <w:sz w:val="23"/>
          <w:szCs w:val="23"/>
          <w:u w:val="single"/>
          <w:vertAlign w:val="baseline"/>
          <w:rtl w:val="0"/>
        </w:rPr>
        <w:t xml:space="preserve">Program Merit:</w:t>
      </w:r>
    </w:p>
    <w:p w:rsidR="00000000" w:rsidDel="00000000" w:rsidP="00000000" w:rsidRDefault="00000000" w:rsidRPr="00000000" w14:paraId="00000035">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Projects Pool Committee will give strong consideration to projects and organizations demonstrating:</w:t>
      </w:r>
    </w:p>
    <w:p w:rsidR="00000000" w:rsidDel="00000000" w:rsidP="00000000" w:rsidRDefault="00000000" w:rsidRPr="00000000" w14:paraId="00000037">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Strong community support.</w:t>
      </w:r>
    </w:p>
    <w:p w:rsidR="00000000" w:rsidDel="00000000" w:rsidP="00000000" w:rsidRDefault="00000000" w:rsidRPr="00000000" w14:paraId="00000038">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Involvement of professional artists.</w:t>
      </w:r>
    </w:p>
    <w:p w:rsidR="00000000" w:rsidDel="00000000" w:rsidP="00000000" w:rsidRDefault="00000000" w:rsidRPr="00000000" w14:paraId="00000039">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Cooperation among existing arts and community organizations.</w:t>
      </w:r>
    </w:p>
    <w:p w:rsidR="00000000" w:rsidDel="00000000" w:rsidP="00000000" w:rsidRDefault="00000000" w:rsidRPr="00000000" w14:paraId="0000003A">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Responsiveness to community needs.</w:t>
      </w:r>
    </w:p>
    <w:p w:rsidR="00000000" w:rsidDel="00000000" w:rsidP="00000000" w:rsidRDefault="00000000" w:rsidRPr="00000000" w14:paraId="0000003B">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Efforts to reach traditionally underserved audiences.</w:t>
      </w:r>
    </w:p>
    <w:p w:rsidR="00000000" w:rsidDel="00000000" w:rsidP="00000000" w:rsidRDefault="00000000" w:rsidRPr="00000000" w14:paraId="0000003C">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Involvement of racial minorities, older adults, and people with disabilities.</w:t>
      </w:r>
    </w:p>
    <w:p w:rsidR="00000000" w:rsidDel="00000000" w:rsidP="00000000" w:rsidRDefault="00000000" w:rsidRPr="00000000" w14:paraId="0000003D">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Promotion of artistic excellence.</w:t>
      </w:r>
    </w:p>
    <w:p w:rsidR="00000000" w:rsidDel="00000000" w:rsidP="00000000" w:rsidRDefault="00000000" w:rsidRPr="00000000" w14:paraId="0000003E">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Cultivation of non-traditional art forms.</w:t>
      </w:r>
    </w:p>
    <w:p w:rsidR="00000000" w:rsidDel="00000000" w:rsidP="00000000" w:rsidRDefault="00000000" w:rsidRPr="00000000" w14:paraId="0000003F">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Stability, growth, fiscal accountability and strong management.</w:t>
      </w:r>
    </w:p>
    <w:p w:rsidR="00000000" w:rsidDel="00000000" w:rsidP="00000000" w:rsidRDefault="00000000" w:rsidRPr="00000000" w14:paraId="00000040">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High level of visibility.</w:t>
      </w:r>
    </w:p>
    <w:p w:rsidR="00000000" w:rsidDel="00000000" w:rsidP="00000000" w:rsidRDefault="00000000" w:rsidRPr="00000000" w14:paraId="00000041">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Innovation.</w:t>
      </w:r>
    </w:p>
    <w:p w:rsidR="00000000" w:rsidDel="00000000" w:rsidP="00000000" w:rsidRDefault="00000000" w:rsidRPr="00000000" w14:paraId="00000042">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Creating opportunities for artists.</w:t>
      </w:r>
    </w:p>
    <w:p w:rsidR="00000000" w:rsidDel="00000000" w:rsidP="00000000" w:rsidRDefault="00000000" w:rsidRPr="00000000" w14:paraId="00000043">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Increasing visibility for arts, science, and history groups.</w:t>
      </w:r>
    </w:p>
    <w:p w:rsidR="00000000" w:rsidDel="00000000" w:rsidP="00000000" w:rsidRDefault="00000000" w:rsidRPr="00000000" w14:paraId="00000044">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Developing new audiences and support for the arts, science and history.</w:t>
      </w:r>
    </w:p>
    <w:p w:rsidR="00000000" w:rsidDel="00000000" w:rsidP="00000000" w:rsidRDefault="00000000" w:rsidRPr="00000000" w14:paraId="00000045">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Development of new outreach programs.</w:t>
      </w:r>
    </w:p>
    <w:p w:rsidR="00000000" w:rsidDel="00000000" w:rsidP="00000000" w:rsidRDefault="00000000" w:rsidRPr="00000000" w14:paraId="00000046">
      <w:pPr>
        <w:numPr>
          <w:ilvl w:val="0"/>
          <w:numId w:val="23"/>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Development of programs that reach pre-school children.</w:t>
      </w:r>
    </w:p>
    <w:p w:rsidR="00000000" w:rsidDel="00000000" w:rsidP="00000000" w:rsidRDefault="00000000" w:rsidRPr="00000000" w14:paraId="00000047">
      <w:pPr>
        <w:numPr>
          <w:ilvl w:val="0"/>
          <w:numId w:val="23"/>
        </w:numPr>
        <w:ind w:left="360" w:hanging="360"/>
        <w:jc w:val="both"/>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Development of innovative arts education projects.</w:t>
      </w:r>
    </w:p>
    <w:p w:rsidR="00000000" w:rsidDel="00000000" w:rsidP="00000000" w:rsidRDefault="00000000" w:rsidRPr="00000000" w14:paraId="00000048">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50">
      <w:pPr>
        <w:numPr>
          <w:ilvl w:val="0"/>
          <w:numId w:val="21"/>
        </w:numPr>
        <w:ind w:left="360" w:hanging="360"/>
        <w:jc w:val="both"/>
        <w:rPr>
          <w:rFonts w:ascii="Calibri" w:cs="Calibri" w:eastAsia="Calibri" w:hAnsi="Calibri"/>
          <w:sz w:val="23"/>
          <w:szCs w:val="23"/>
          <w:u w:val="single"/>
          <w:vertAlign w:val="baseline"/>
        </w:rPr>
      </w:pPr>
      <w:r w:rsidDel="00000000" w:rsidR="00000000" w:rsidRPr="00000000">
        <w:rPr>
          <w:rFonts w:ascii="Calibri" w:cs="Calibri" w:eastAsia="Calibri" w:hAnsi="Calibri"/>
          <w:sz w:val="23"/>
          <w:szCs w:val="23"/>
          <w:u w:val="single"/>
          <w:vertAlign w:val="baseline"/>
          <w:rtl w:val="0"/>
        </w:rPr>
        <w:t xml:space="preserve">Formal Application:</w:t>
      </w:r>
    </w:p>
    <w:p w:rsidR="00000000" w:rsidDel="00000000" w:rsidP="00000000" w:rsidRDefault="00000000" w:rsidRPr="00000000" w14:paraId="00000051">
      <w:pPr>
        <w:jc w:val="both"/>
        <w:rPr>
          <w:rFonts w:ascii="Calibri" w:cs="Calibri" w:eastAsia="Calibri" w:hAnsi="Calibri"/>
          <w:sz w:val="23"/>
          <w:szCs w:val="23"/>
          <w:u w:val="single"/>
          <w:vertAlign w:val="baseline"/>
        </w:rPr>
      </w:pPr>
      <w:r w:rsidDel="00000000" w:rsidR="00000000" w:rsidRPr="00000000">
        <w:rPr>
          <w:rtl w:val="0"/>
        </w:rPr>
      </w:r>
    </w:p>
    <w:p w:rsidR="00000000" w:rsidDel="00000000" w:rsidP="00000000" w:rsidRDefault="00000000" w:rsidRPr="00000000" w14:paraId="00000052">
      <w:pPr>
        <w:numPr>
          <w:ilvl w:val="0"/>
          <w:numId w:val="24"/>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One (1) granting period will take place each fiscal year (July 1 through June 15).  </w:t>
      </w:r>
    </w:p>
    <w:p w:rsidR="00000000" w:rsidDel="00000000" w:rsidP="00000000" w:rsidRDefault="00000000" w:rsidRPr="00000000" w14:paraId="00000053">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54">
      <w:pPr>
        <w:numPr>
          <w:ilvl w:val="0"/>
          <w:numId w:val="25"/>
        </w:numPr>
        <w:ind w:left="360" w:hanging="360"/>
        <w:rPr>
          <w:rFonts w:ascii="Calibri" w:cs="Calibri" w:eastAsia="Calibri" w:hAnsi="Calibri"/>
          <w:sz w:val="23"/>
          <w:szCs w:val="23"/>
          <w:vertAlign w:val="baseline"/>
        </w:rPr>
      </w:pPr>
      <w:r w:rsidDel="00000000" w:rsidR="00000000" w:rsidRPr="00000000">
        <w:rPr>
          <w:rFonts w:ascii="Calibri" w:cs="Calibri" w:eastAsia="Calibri" w:hAnsi="Calibri"/>
          <w:sz w:val="23"/>
          <w:szCs w:val="23"/>
          <w:vertAlign w:val="baseline"/>
          <w:rtl w:val="0"/>
        </w:rPr>
        <w:t xml:space="preserve">Applicants may apply for a maximum of $10,000. A cash request form is required to receive funds. One half of the grant award may be requested prior to the project date and the remaining half may be requested upon completion of the project with the submission of the final report form.</w:t>
      </w:r>
    </w:p>
    <w:p w:rsidR="00000000" w:rsidDel="00000000" w:rsidP="00000000" w:rsidRDefault="00000000" w:rsidRPr="00000000" w14:paraId="00000055">
      <w:pPr>
        <w:jc w:val="both"/>
        <w:rPr>
          <w:rFonts w:ascii="Calibri" w:cs="Calibri" w:eastAsia="Calibri" w:hAnsi="Calibri"/>
          <w:sz w:val="23"/>
          <w:szCs w:val="23"/>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Applicants must submit </w:t>
      </w: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one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application, including attachments.  Please submit through email to the following address:  </w:t>
      </w:r>
      <w:hyperlink r:id="rId7">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executivedirector@artscatawba.org</w:t>
        </w:r>
      </w:hyperlink>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and include a cc to: </w:t>
      </w:r>
      <w:hyperlink r:id="rId8">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businessmanager@artscatawba.org</w:t>
        </w:r>
      </w:hyperlink>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You will receive a response indicating that your application has been received and is complete.  </w:t>
      </w:r>
      <w:r w:rsidDel="00000000" w:rsidR="00000000" w:rsidRPr="00000000">
        <w:rPr>
          <w:rFonts w:ascii="Calibri" w:cs="Calibri" w:eastAsia="Calibri" w:hAnsi="Calibri"/>
          <w:b w:val="0"/>
          <w:i w:val="0"/>
          <w:smallCaps w:val="0"/>
          <w:strike w:val="0"/>
          <w:color w:val="000000"/>
          <w:sz w:val="23"/>
          <w:szCs w:val="23"/>
          <w:u w:val="single"/>
          <w:shd w:fill="auto" w:val="clear"/>
          <w:vertAlign w:val="baseline"/>
          <w:rtl w:val="0"/>
        </w:rPr>
        <w:t xml:space="preserve">If you do not receive such a reply</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please call our office to assure application has been received electronically.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Projects Pool review process includes a committee review of all applications and a committee interview with each applicant’s organization whose proposal meets Project Pool guidelines.  Applicants must send at least one representative to their interview.</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Project Pool Committee reserves the right to designate funding for specific elements of a project.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If the Projects Pool Committee or the applicant decides to modify the proposed project in any way, a revised budget and revised program description must be submitted prior to disbursement of funds.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Each grant recipient will be required to sign a contract with the United Arts Council of Catawba County.</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 order to ensure maximum project visibility, recipients are urged to make every reasonable effort to publicize their projects.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final report, including a summary page for the Projects Pool Committee, is mandatory.  If an organization does not file such a report, future grant applications from that organization will be in serious jeopardy.</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Grant recipients will include in all publicity, promotions and printed programs, the appropriate credit line as stated in the Projects Pool contract.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Contact:</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Ingrid Keller, Executive Director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United Arts Council of Catawba County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243 3</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Ave NE Box 5</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Hickory, NC  28601</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3"/>
            <w:szCs w:val="23"/>
            <w:u w:val="single"/>
            <w:shd w:fill="auto" w:val="clear"/>
            <w:vertAlign w:val="baseline"/>
            <w:rtl w:val="0"/>
          </w:rPr>
          <w:t xml:space="preserve">executivedirector@artscatawba.org</w:t>
        </w:r>
      </w:hyperlink>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828-324-4906, ext. 302</w:t>
      </w:r>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vertAlign w:val="baseline"/>
      </w:rPr>
    </w:pPr>
    <w:r w:rsidDel="00000000" w:rsidR="00000000" w:rsidRPr="00000000">
      <w:rPr>
        <w:rtl w:val="0"/>
      </w:rPr>
    </w:r>
  </w:p>
  <w:tbl>
    <w:tblPr>
      <w:tblStyle w:val="Table1"/>
      <w:tblW w:w="10188.0" w:type="dxa"/>
      <w:jc w:val="left"/>
      <w:tblInd w:w="0.0" w:type="dxa"/>
      <w:tblLayout w:type="fixed"/>
      <w:tblLook w:val="0000"/>
    </w:tblPr>
    <w:tblGrid>
      <w:gridCol w:w="4428"/>
      <w:gridCol w:w="5760"/>
      <w:tblGridChange w:id="0">
        <w:tblGrid>
          <w:gridCol w:w="4428"/>
          <w:gridCol w:w="5760"/>
        </w:tblGrid>
      </w:tblGridChange>
    </w:tblGrid>
    <w:tr>
      <w:trPr>
        <w:cantSplit w:val="0"/>
        <w:tblHeader w:val="0"/>
      </w:trPr>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UAC Projects Pool Grant Guidelines </w:t>
          </w:r>
          <w:r w:rsidDel="00000000" w:rsidR="00000000" w:rsidRPr="00000000">
            <w:rPr>
              <w:rtl w:val="0"/>
            </w:rPr>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2"/>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8"/>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FooterChar">
    <w:name w:val="Footer Char"/>
    <w:next w:val="FooterChar"/>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jc w:val="center"/>
    </w:pPr>
    <w:rPr>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executivedirector@artscatawb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xecutivedirector@artscatawba.org" TargetMode="External"/><Relationship Id="rId8" Type="http://schemas.openxmlformats.org/officeDocument/2006/relationships/hyperlink" Target="mailto:businessmanager@artscataw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uT35i6YeB0nm06bJDTsoFC2MGg==">AMUW2mWCge2DTPUdklg1+faAojN4NQMzIkegqys4f7HTl4ZeD9Odk4Bg4LRqxj0FNSY8XdVCnfAH876pj/aKps4hoycUE93YQFpa27qrtZJMMbvinKFDG7U=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2022-08-24T20:14:00Z</dcterms:created>
  <dc:creator>roberta</dc:creator>
</cp:coreProperties>
</file>

<file path=docProps/custom.xml><?xml version="1.0" encoding="utf-8"?>
<Properties xmlns="http://schemas.openxmlformats.org/officeDocument/2006/custom-properties" xmlns:vt="http://schemas.openxmlformats.org/officeDocument/2006/docPropsVTypes"/>
</file>